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SG_VERSICHERUNGSGERICHT IV 2013/578 vom 20. Oktober 2015</w:t>
      </w:r>
    </w:p>
    <w:p>
      <w:r>
        <w:t>Sg Versicherungsgericht, 2015-10-20, DE</w:t>
      </w:r>
    </w:p>
    <w:p>
      <w:r>
        <w:rPr>
          <w:b/>
        </w:rPr>
        <w:t xml:space="preserve">Quelle: </w:t>
      </w:r>
      <w:r>
        <w:t>https://mcp.opencaselaw.ch/entscheid/sg_publikationen_IV 2013_578</w:t>
      </w:r>
    </w:p>
    <w:p>
      <w:r>
        <w:t>FR: SG_VERSICHERUNGSGERICHT IV 2013/578 du 20 octobre 2015</w:t>
      </w:r>
    </w:p>
    <w:p>
      <w:r>
        <w:t>IT: SG_VERSICHERUNGSGERICHT IV 2013/578 del 20 ottobre 2015</w:t>
      </w:r>
    </w:p>
    <w:p>
      <w:pPr>
        <w:pStyle w:val="Heading2"/>
      </w:pPr>
      <w:r>
        <w:t>Regeste</w:t>
      </w:r>
    </w:p>
    <w:p>
      <w:r>
        <w:t>Art. 18 IVG. Art. 43 ATSG. Verletzung des Untersuchungsgrundsatzes. Klärung des Begriffs „Arbeitsvermittlung“ unter Berücksichtigung des Sinns und Zwecks des Art. 18 IVG (Entscheid des Versicherungsgerichts des Kantons St. Gallen vom 20. Oktober 2015, IV 2013/578).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Verfügung vom 11. Oktober 2013 wird aufgehoben und die Sache wird zur Weiterführung des Verwaltungsverfahrens im Sinne der Erwägungen an die Beschwerdegegnerin zurückgewiesen.</w:t>
      </w:r>
    </w:p>
    <w:p>
      <w:r>
        <w:rPr>
          <w:b/>
        </w:rPr>
        <w:t>E. 2</w:t>
      </w:r>
    </w:p>
    <w:p>
      <w:r>
        <w:t>Die Beschwerdegegnerin hat die Gerichtskosten von Fr. 600.-- zu bezahlen.</w:t>
      </w:r>
    </w:p>
    <w:p>
      <w:r>
        <w:rPr>
          <w:b/>
        </w:rPr>
        <w:t>E. 3</w:t>
      </w:r>
    </w:p>
    <w:p>
      <w:r>
        <w:t>Die Beschwerdegegnerin hat dem Beschwerdeführer eine Parteientschädigung von Fr. 2’000.-- auszurichten.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